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928" w14:textId="2D0238D1" w:rsidR="00B31B97" w:rsidRPr="00B31B97" w:rsidRDefault="00B31B97" w:rsidP="00B31B97">
      <w:pPr>
        <w:spacing w:line="480" w:lineRule="auto"/>
        <w:rPr>
          <w:rFonts w:ascii="Arial" w:eastAsia="Arial" w:hAnsi="Arial" w:cs="Arial"/>
          <w:color w:val="595959"/>
          <w:sz w:val="22"/>
          <w:szCs w:val="24"/>
        </w:rPr>
      </w:pPr>
      <w:r w:rsidRPr="00B31B97">
        <w:rPr>
          <w:rFonts w:ascii="微软雅黑" w:eastAsia="微软雅黑" w:hAnsi="微软雅黑" w:cs="微软雅黑" w:hint="eastAsia"/>
          <w:color w:val="595959"/>
          <w:sz w:val="22"/>
          <w:szCs w:val="24"/>
        </w:rPr>
        <w:t>附</w:t>
      </w:r>
      <w:r w:rsidRPr="00B31B97">
        <w:rPr>
          <w:rFonts w:ascii="Arial" w:eastAsia="Arial" w:hAnsi="Arial" w:cs="Arial" w:hint="eastAsia"/>
          <w:color w:val="595959"/>
          <w:sz w:val="22"/>
          <w:szCs w:val="24"/>
        </w:rPr>
        <w:t>1</w:t>
      </w:r>
      <w:r w:rsidRPr="00B31B97">
        <w:rPr>
          <w:rFonts w:ascii="微软雅黑" w:eastAsia="微软雅黑" w:hAnsi="微软雅黑" w:cs="微软雅黑" w:hint="eastAsia"/>
          <w:color w:val="595959"/>
          <w:sz w:val="22"/>
          <w:szCs w:val="24"/>
        </w:rPr>
        <w:t>：</w:t>
      </w:r>
      <w:r w:rsidRPr="00B31B97">
        <w:rPr>
          <w:rFonts w:ascii="Arial" w:eastAsia="Arial" w:hAnsi="Arial" w:cs="Arial"/>
          <w:color w:val="595959"/>
          <w:sz w:val="22"/>
          <w:szCs w:val="24"/>
        </w:rPr>
        <w:t> </w:t>
      </w:r>
      <w:r w:rsidRPr="00B31B97">
        <w:rPr>
          <w:rFonts w:ascii="微软雅黑" w:eastAsia="微软雅黑" w:hAnsi="微软雅黑" w:cs="微软雅黑" w:hint="eastAsia"/>
          <w:color w:val="595959"/>
          <w:sz w:val="22"/>
          <w:szCs w:val="24"/>
        </w:rPr>
        <w:t>吲哚菁绿标记荧光腹腔镜技术在腹腔镜近端胃癌根治术中的应用专项指南</w:t>
      </w:r>
    </w:p>
    <w:p w14:paraId="59F7756D" w14:textId="3DC126BC" w:rsidR="00B31B97" w:rsidRPr="00B31B97" w:rsidRDefault="00B31B97" w:rsidP="00B31B97">
      <w:pPr>
        <w:spacing w:line="480" w:lineRule="auto"/>
        <w:rPr>
          <w:rFonts w:ascii="Arial" w:eastAsia="Arial" w:hAnsi="Arial" w:cs="Arial"/>
          <w:color w:val="595959"/>
          <w:sz w:val="22"/>
          <w:szCs w:val="24"/>
        </w:rPr>
      </w:pPr>
      <w:r w:rsidRPr="00B31B97">
        <w:rPr>
          <w:rFonts w:ascii="微软雅黑" w:eastAsia="微软雅黑" w:hAnsi="微软雅黑" w:cs="微软雅黑" w:hint="eastAsia"/>
          <w:color w:val="595959"/>
          <w:sz w:val="22"/>
          <w:szCs w:val="24"/>
        </w:rPr>
        <w:t>项目名称：吲哚菁绿标记荧光腹腔镜技术在腹腔镜近端胃癌根治术中的应用专项指南</w:t>
      </w:r>
    </w:p>
    <w:p w14:paraId="0560C4E5" w14:textId="77777777" w:rsidR="00B31B97" w:rsidRPr="00B31B97" w:rsidRDefault="00B31B97" w:rsidP="00B31B97">
      <w:pPr>
        <w:spacing w:line="480" w:lineRule="auto"/>
        <w:rPr>
          <w:rFonts w:ascii="Arial" w:eastAsia="Arial" w:hAnsi="Arial" w:cs="Arial"/>
          <w:color w:val="595959"/>
          <w:sz w:val="22"/>
          <w:szCs w:val="24"/>
        </w:rPr>
      </w:pPr>
      <w:r w:rsidRPr="00B31B97">
        <w:rPr>
          <w:rFonts w:ascii="微软雅黑" w:eastAsia="微软雅黑" w:hAnsi="微软雅黑" w:cs="微软雅黑" w:hint="eastAsia"/>
          <w:color w:val="595959"/>
          <w:sz w:val="22"/>
          <w:szCs w:val="24"/>
        </w:rPr>
        <w:t>研究内容：以胃腺癌</w:t>
      </w:r>
      <w:r w:rsidRPr="00B31B97">
        <w:rPr>
          <w:rFonts w:ascii="Arial" w:eastAsia="Arial" w:hAnsi="Arial" w:cs="Arial"/>
          <w:color w:val="595959"/>
          <w:sz w:val="22"/>
          <w:szCs w:val="24"/>
        </w:rPr>
        <w:t>(cT1-4a</w:t>
      </w:r>
      <w:r w:rsidRPr="00B31B97">
        <w:rPr>
          <w:rFonts w:ascii="微软雅黑" w:eastAsia="微软雅黑" w:hAnsi="微软雅黑" w:cs="微软雅黑" w:hint="eastAsia"/>
          <w:color w:val="595959"/>
          <w:sz w:val="22"/>
          <w:szCs w:val="24"/>
        </w:rPr>
        <w:t>、</w:t>
      </w:r>
      <w:r w:rsidRPr="00B31B97">
        <w:rPr>
          <w:rFonts w:ascii="Arial" w:eastAsia="Arial" w:hAnsi="Arial" w:cs="Arial"/>
          <w:color w:val="595959"/>
          <w:sz w:val="22"/>
          <w:szCs w:val="24"/>
        </w:rPr>
        <w:t>N-/+</w:t>
      </w:r>
      <w:r w:rsidRPr="00B31B97">
        <w:rPr>
          <w:rFonts w:ascii="微软雅黑" w:eastAsia="微软雅黑" w:hAnsi="微软雅黑" w:cs="微软雅黑" w:hint="eastAsia"/>
          <w:color w:val="595959"/>
          <w:sz w:val="22"/>
          <w:szCs w:val="24"/>
        </w:rPr>
        <w:t>、</w:t>
      </w:r>
      <w:r w:rsidRPr="00B31B97">
        <w:rPr>
          <w:rFonts w:ascii="Arial" w:eastAsia="Arial" w:hAnsi="Arial" w:cs="Arial"/>
          <w:color w:val="595959"/>
          <w:sz w:val="22"/>
          <w:szCs w:val="24"/>
        </w:rPr>
        <w:t>M0)</w:t>
      </w:r>
      <w:r w:rsidRPr="00B31B97">
        <w:rPr>
          <w:rFonts w:ascii="微软雅黑" w:eastAsia="微软雅黑" w:hAnsi="微软雅黑" w:cs="微软雅黑" w:hint="eastAsia"/>
          <w:color w:val="595959"/>
          <w:sz w:val="22"/>
          <w:szCs w:val="24"/>
        </w:rPr>
        <w:t>患者为研究对象，针对腹腔镜近端胃癌根治性切除术，评价吲哚菁绿示踪腹腔镜近端胃癌淋巴结清扫术的临床疗效是否优于无吲哚菁绿示踪的腹腔镜胃癌淋巴结清扫术；明确术前黏膜下注射</w:t>
      </w:r>
      <w:r w:rsidRPr="00B31B97">
        <w:rPr>
          <w:rFonts w:ascii="Arial" w:eastAsia="Arial" w:hAnsi="Arial" w:cs="Arial"/>
          <w:color w:val="595959"/>
          <w:sz w:val="22"/>
          <w:szCs w:val="24"/>
        </w:rPr>
        <w:t>ICG</w:t>
      </w:r>
      <w:r w:rsidRPr="00B31B97">
        <w:rPr>
          <w:rFonts w:ascii="微软雅黑" w:eastAsia="微软雅黑" w:hAnsi="微软雅黑" w:cs="微软雅黑" w:hint="eastAsia"/>
          <w:color w:val="595959"/>
          <w:sz w:val="22"/>
          <w:szCs w:val="24"/>
        </w:rPr>
        <w:t>对腹腔镜下对胃癌的定位、选择正确的切除范围的意义；探讨术前注射</w:t>
      </w:r>
      <w:r w:rsidRPr="00B31B97">
        <w:rPr>
          <w:rFonts w:ascii="Arial" w:eastAsia="Arial" w:hAnsi="Arial" w:cs="Arial"/>
          <w:color w:val="595959"/>
          <w:sz w:val="22"/>
          <w:szCs w:val="24"/>
        </w:rPr>
        <w:t>ICG</w:t>
      </w:r>
      <w:r w:rsidRPr="00B31B97">
        <w:rPr>
          <w:rFonts w:ascii="微软雅黑" w:eastAsia="微软雅黑" w:hAnsi="微软雅黑" w:cs="微软雅黑" w:hint="eastAsia"/>
          <w:color w:val="595959"/>
          <w:sz w:val="22"/>
          <w:szCs w:val="24"/>
        </w:rPr>
        <w:t>的淋巴引流导航技术对腹腔镜近端胃癌根治术中淋巴结清扫过程及淋巴结清扫数量的意义；评价术中静脉注射</w:t>
      </w:r>
      <w:r w:rsidRPr="00B31B97">
        <w:rPr>
          <w:rFonts w:ascii="Arial" w:eastAsia="Arial" w:hAnsi="Arial" w:cs="Arial"/>
          <w:color w:val="595959"/>
          <w:sz w:val="22"/>
          <w:szCs w:val="24"/>
        </w:rPr>
        <w:t>ICG</w:t>
      </w:r>
      <w:r w:rsidRPr="00B31B97">
        <w:rPr>
          <w:rFonts w:ascii="微软雅黑" w:eastAsia="微软雅黑" w:hAnsi="微软雅黑" w:cs="微软雅黑" w:hint="eastAsia"/>
          <w:color w:val="595959"/>
          <w:sz w:val="22"/>
          <w:szCs w:val="24"/>
        </w:rPr>
        <w:t>对于观察吻合口附近相关消化道器官的血供、降低因血供障碍引起的胃癌根治术后消化道瘘的发生率的价值；制定吲哚菁绿标记的荧光腹腔镜技术医疗诊治方案，开展吲哚菁绿荧光腹腔镜技术在腹腔镜近端胃癌根治术的相关单中心、多中心临床研究（疾病注册、移动随访研究和多中心验证）。</w:t>
      </w:r>
    </w:p>
    <w:p w14:paraId="6C6E470D" w14:textId="77777777" w:rsidR="00B31B97" w:rsidRPr="00B31B97" w:rsidRDefault="00B31B97" w:rsidP="00B31B97">
      <w:pPr>
        <w:spacing w:line="480" w:lineRule="auto"/>
        <w:rPr>
          <w:rFonts w:ascii="Arial" w:eastAsia="Arial" w:hAnsi="Arial" w:cs="Arial"/>
          <w:color w:val="595959"/>
          <w:sz w:val="22"/>
          <w:szCs w:val="24"/>
        </w:rPr>
      </w:pPr>
      <w:r w:rsidRPr="00B31B97">
        <w:rPr>
          <w:rFonts w:ascii="微软雅黑" w:eastAsia="微软雅黑" w:hAnsi="微软雅黑" w:cs="微软雅黑" w:hint="eastAsia"/>
          <w:color w:val="595959"/>
          <w:sz w:val="22"/>
          <w:szCs w:val="24"/>
        </w:rPr>
        <w:t>考核指标：建立</w:t>
      </w:r>
      <w:r w:rsidRPr="00B31B97">
        <w:rPr>
          <w:rFonts w:ascii="Arial" w:eastAsia="Arial" w:hAnsi="Arial" w:cs="Arial" w:hint="eastAsia"/>
          <w:color w:val="595959"/>
          <w:sz w:val="22"/>
          <w:szCs w:val="24"/>
        </w:rPr>
        <w:t>1</w:t>
      </w:r>
      <w:r w:rsidRPr="00B31B97">
        <w:rPr>
          <w:rFonts w:ascii="Arial" w:eastAsia="Arial" w:hAnsi="Arial" w:cs="Arial"/>
          <w:color w:val="595959"/>
          <w:sz w:val="22"/>
          <w:szCs w:val="24"/>
        </w:rPr>
        <w:t>-3</w:t>
      </w:r>
      <w:r w:rsidRPr="00B31B97">
        <w:rPr>
          <w:rFonts w:ascii="微软雅黑" w:eastAsia="微软雅黑" w:hAnsi="微软雅黑" w:cs="微软雅黑" w:hint="eastAsia"/>
          <w:color w:val="595959"/>
          <w:sz w:val="22"/>
          <w:szCs w:val="24"/>
        </w:rPr>
        <w:t>个单中心</w:t>
      </w:r>
      <w:r w:rsidRPr="00B31B97">
        <w:rPr>
          <w:rFonts w:ascii="Arial" w:eastAsia="Arial" w:hAnsi="Arial" w:cs="Arial" w:hint="eastAsia"/>
          <w:color w:val="595959"/>
          <w:sz w:val="22"/>
          <w:szCs w:val="24"/>
        </w:rPr>
        <w:t>/</w:t>
      </w:r>
      <w:r w:rsidRPr="00B31B97">
        <w:rPr>
          <w:rFonts w:ascii="微软雅黑" w:eastAsia="微软雅黑" w:hAnsi="微软雅黑" w:cs="微软雅黑" w:hint="eastAsia"/>
          <w:color w:val="595959"/>
          <w:sz w:val="22"/>
          <w:szCs w:val="24"/>
        </w:rPr>
        <w:t>多中心、前瞻性的吲哚菁绿标记的腹腔镜技术在腹腔镜近端胃癌根治术中应用的研究队列；制定规范的吲哚菁绿标记荧光腹腔镜近端胃癌根治术的诊疗标准；建设</w:t>
      </w:r>
      <w:r w:rsidRPr="00B31B97">
        <w:rPr>
          <w:rFonts w:ascii="Arial" w:eastAsia="Arial" w:hAnsi="Arial" w:cs="Arial" w:hint="eastAsia"/>
          <w:color w:val="595959"/>
          <w:sz w:val="22"/>
          <w:szCs w:val="24"/>
        </w:rPr>
        <w:t>1</w:t>
      </w:r>
      <w:r w:rsidRPr="00B31B97">
        <w:rPr>
          <w:rFonts w:ascii="微软雅黑" w:eastAsia="微软雅黑" w:hAnsi="微软雅黑" w:cs="微软雅黑" w:hint="eastAsia"/>
          <w:color w:val="595959"/>
          <w:sz w:val="22"/>
          <w:szCs w:val="24"/>
        </w:rPr>
        <w:t>个行业专家主导的关于荧光腹腔镜胃癌根治术的培训、管理及病例随访平台；明确术前、术中应用吲哚菁绿对阳性淋巴结总数、淋巴结转移率、早期并发症率（吻合口瘘，刀口感染，肠梗阻）及手术死亡率、术后早期恢复过程（排气时间，排便时间）、</w:t>
      </w:r>
      <w:r w:rsidRPr="00B31B97">
        <w:rPr>
          <w:rFonts w:ascii="Arial" w:eastAsia="Arial" w:hAnsi="Arial" w:cs="Arial"/>
          <w:color w:val="595959"/>
          <w:sz w:val="22"/>
          <w:szCs w:val="24"/>
        </w:rPr>
        <w:t>3</w:t>
      </w:r>
      <w:r w:rsidRPr="00B31B97">
        <w:rPr>
          <w:rFonts w:ascii="微软雅黑" w:eastAsia="微软雅黑" w:hAnsi="微软雅黑" w:cs="微软雅黑" w:hint="eastAsia"/>
          <w:color w:val="595959"/>
          <w:sz w:val="22"/>
          <w:szCs w:val="24"/>
        </w:rPr>
        <w:t>年总体生存率、</w:t>
      </w:r>
      <w:r w:rsidRPr="00B31B97">
        <w:rPr>
          <w:rFonts w:ascii="Arial" w:eastAsia="Arial" w:hAnsi="Arial" w:cs="Arial"/>
          <w:color w:val="595959"/>
          <w:sz w:val="22"/>
          <w:szCs w:val="24"/>
        </w:rPr>
        <w:t>3</w:t>
      </w:r>
      <w:r w:rsidRPr="00B31B97">
        <w:rPr>
          <w:rFonts w:ascii="微软雅黑" w:eastAsia="微软雅黑" w:hAnsi="微软雅黑" w:cs="微软雅黑" w:hint="eastAsia"/>
          <w:color w:val="595959"/>
          <w:sz w:val="22"/>
          <w:szCs w:val="24"/>
        </w:rPr>
        <w:t>年复发类型、术后营养状况及生活质量的影响；相关研究成果完善形成</w:t>
      </w:r>
      <w:r w:rsidRPr="00B31B97">
        <w:rPr>
          <w:rFonts w:ascii="Arial" w:eastAsia="Arial" w:hAnsi="Arial" w:cs="Arial" w:hint="eastAsia"/>
          <w:color w:val="595959"/>
          <w:sz w:val="22"/>
          <w:szCs w:val="24"/>
        </w:rPr>
        <w:t>1</w:t>
      </w:r>
      <w:r w:rsidRPr="00B31B97">
        <w:rPr>
          <w:rFonts w:ascii="Arial" w:eastAsia="Arial" w:hAnsi="Arial" w:cs="Arial"/>
          <w:color w:val="595959"/>
          <w:sz w:val="22"/>
          <w:szCs w:val="24"/>
        </w:rPr>
        <w:t>-3</w:t>
      </w:r>
      <w:r w:rsidRPr="00B31B97">
        <w:rPr>
          <w:rFonts w:ascii="微软雅黑" w:eastAsia="微软雅黑" w:hAnsi="微软雅黑" w:cs="微软雅黑" w:hint="eastAsia"/>
          <w:color w:val="595959"/>
          <w:sz w:val="22"/>
          <w:szCs w:val="24"/>
        </w:rPr>
        <w:t>篇高质量</w:t>
      </w:r>
      <w:r w:rsidRPr="00B31B97">
        <w:rPr>
          <w:rFonts w:ascii="Arial" w:eastAsia="Arial" w:hAnsi="Arial" w:cs="Arial" w:hint="eastAsia"/>
          <w:color w:val="595959"/>
          <w:sz w:val="22"/>
          <w:szCs w:val="24"/>
        </w:rPr>
        <w:t>S</w:t>
      </w:r>
      <w:r w:rsidRPr="00B31B97">
        <w:rPr>
          <w:rFonts w:ascii="Arial" w:eastAsia="Arial" w:hAnsi="Arial" w:cs="Arial"/>
          <w:color w:val="595959"/>
          <w:sz w:val="22"/>
          <w:szCs w:val="24"/>
        </w:rPr>
        <w:t>CI</w:t>
      </w:r>
      <w:r w:rsidRPr="00B31B97">
        <w:rPr>
          <w:rFonts w:ascii="微软雅黑" w:eastAsia="微软雅黑" w:hAnsi="微软雅黑" w:cs="微软雅黑" w:hint="eastAsia"/>
          <w:color w:val="595959"/>
          <w:sz w:val="22"/>
          <w:szCs w:val="24"/>
        </w:rPr>
        <w:t>论文。</w:t>
      </w:r>
    </w:p>
    <w:p w14:paraId="0E7A8061" w14:textId="41757A42" w:rsidR="00892DD8" w:rsidRPr="00B31B97" w:rsidRDefault="00892DD8" w:rsidP="00B31B97">
      <w:pPr>
        <w:spacing w:line="480" w:lineRule="auto"/>
        <w:jc w:val="left"/>
        <w:rPr>
          <w:rFonts w:ascii="Arial" w:eastAsia="Arial" w:hAnsi="Arial" w:cs="Arial" w:hint="eastAsia"/>
          <w:color w:val="595959"/>
          <w:sz w:val="22"/>
          <w:szCs w:val="24"/>
        </w:rPr>
      </w:pPr>
    </w:p>
    <w:sectPr w:rsidR="00892DD8" w:rsidRPr="00B31B97">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3DD3" w14:textId="77777777" w:rsidR="00866A88" w:rsidRDefault="00866A88">
      <w:r>
        <w:separator/>
      </w:r>
    </w:p>
  </w:endnote>
  <w:endnote w:type="continuationSeparator" w:id="0">
    <w:p w14:paraId="1501F446" w14:textId="77777777" w:rsidR="00866A88" w:rsidRDefault="008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4C89" w14:textId="77777777" w:rsidR="00866A88" w:rsidRDefault="00866A88">
      <w:r>
        <w:separator/>
      </w:r>
    </w:p>
  </w:footnote>
  <w:footnote w:type="continuationSeparator" w:id="0">
    <w:p w14:paraId="2C713C82" w14:textId="77777777" w:rsidR="00866A88" w:rsidRDefault="0086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00BEF"/>
    <w:multiLevelType w:val="hybridMultilevel"/>
    <w:tmpl w:val="001A1FEC"/>
    <w:lvl w:ilvl="0" w:tplc="24FE845C">
      <w:start w:val="1"/>
      <w:numFmt w:val="bullet"/>
      <w:lvlText w:val="·"/>
      <w:lvlJc w:val="left"/>
      <w:pPr>
        <w:ind w:left="720" w:hanging="349"/>
      </w:pPr>
      <w:rPr>
        <w:rFonts w:ascii="Symbol" w:eastAsia="Symbol" w:hAnsi="Symbol" w:cs="Symbol"/>
      </w:rPr>
    </w:lvl>
    <w:lvl w:ilvl="1" w:tplc="2C4253F2">
      <w:start w:val="1"/>
      <w:numFmt w:val="bullet"/>
      <w:lvlText w:val="o"/>
      <w:lvlJc w:val="left"/>
      <w:pPr>
        <w:ind w:left="1440" w:hanging="349"/>
      </w:pPr>
      <w:rPr>
        <w:rFonts w:ascii="Courier New" w:eastAsia="Courier New" w:hAnsi="Courier New" w:cs="Courier New"/>
      </w:rPr>
    </w:lvl>
    <w:lvl w:ilvl="2" w:tplc="DB746B9E">
      <w:start w:val="1"/>
      <w:numFmt w:val="bullet"/>
      <w:lvlText w:val="§"/>
      <w:lvlJc w:val="left"/>
      <w:pPr>
        <w:ind w:left="2160" w:hanging="349"/>
      </w:pPr>
      <w:rPr>
        <w:rFonts w:ascii="Wingdings" w:eastAsia="Wingdings" w:hAnsi="Wingdings" w:cs="Wingdings"/>
      </w:rPr>
    </w:lvl>
    <w:lvl w:ilvl="3" w:tplc="0F94FAC8">
      <w:start w:val="1"/>
      <w:numFmt w:val="bullet"/>
      <w:lvlText w:val="·"/>
      <w:lvlJc w:val="left"/>
      <w:pPr>
        <w:ind w:left="2880" w:hanging="349"/>
      </w:pPr>
      <w:rPr>
        <w:rFonts w:ascii="Symbol" w:eastAsia="Symbol" w:hAnsi="Symbol" w:cs="Symbol"/>
      </w:rPr>
    </w:lvl>
    <w:lvl w:ilvl="4" w:tplc="57D6263C">
      <w:start w:val="1"/>
      <w:numFmt w:val="bullet"/>
      <w:lvlText w:val="o"/>
      <w:lvlJc w:val="left"/>
      <w:pPr>
        <w:ind w:left="3600" w:hanging="349"/>
      </w:pPr>
      <w:rPr>
        <w:rFonts w:ascii="Courier New" w:eastAsia="Courier New" w:hAnsi="Courier New" w:cs="Courier New"/>
      </w:rPr>
    </w:lvl>
    <w:lvl w:ilvl="5" w:tplc="4732C1E0">
      <w:start w:val="1"/>
      <w:numFmt w:val="bullet"/>
      <w:lvlText w:val="§"/>
      <w:lvlJc w:val="left"/>
      <w:pPr>
        <w:ind w:left="4320" w:hanging="349"/>
      </w:pPr>
      <w:rPr>
        <w:rFonts w:ascii="Wingdings" w:eastAsia="Wingdings" w:hAnsi="Wingdings" w:cs="Wingdings"/>
      </w:rPr>
    </w:lvl>
    <w:lvl w:ilvl="6" w:tplc="50B8F32A">
      <w:start w:val="1"/>
      <w:numFmt w:val="bullet"/>
      <w:lvlText w:val="·"/>
      <w:lvlJc w:val="left"/>
      <w:pPr>
        <w:ind w:left="5040" w:hanging="349"/>
      </w:pPr>
      <w:rPr>
        <w:rFonts w:ascii="Symbol" w:eastAsia="Symbol" w:hAnsi="Symbol" w:cs="Symbol"/>
      </w:rPr>
    </w:lvl>
    <w:lvl w:ilvl="7" w:tplc="13C48DA8">
      <w:start w:val="1"/>
      <w:numFmt w:val="bullet"/>
      <w:lvlText w:val="o"/>
      <w:lvlJc w:val="left"/>
      <w:pPr>
        <w:ind w:left="5760" w:hanging="349"/>
      </w:pPr>
      <w:rPr>
        <w:rFonts w:ascii="Courier New" w:eastAsia="Courier New" w:hAnsi="Courier New" w:cs="Courier New"/>
      </w:rPr>
    </w:lvl>
    <w:lvl w:ilvl="8" w:tplc="FF24AD6A">
      <w:start w:val="1"/>
      <w:numFmt w:val="bullet"/>
      <w:lvlText w:val="§"/>
      <w:lvlJc w:val="left"/>
      <w:pPr>
        <w:ind w:left="6480" w:hanging="349"/>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D8"/>
    <w:rsid w:val="00866A88"/>
    <w:rsid w:val="00892DD8"/>
    <w:rsid w:val="00B3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FFC"/>
  <w15:docId w15:val="{AADFF648-D263-3148-8D54-B361CF63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1"/>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before="340" w:after="330" w:line="578" w:lineRule="auto"/>
      <w:outlineLvl w:val="0"/>
    </w:pPr>
    <w:rPr>
      <w:b/>
      <w:bCs/>
      <w:sz w:val="44"/>
      <w:szCs w:val="4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标题 2 字符"/>
    <w:basedOn w:val="a0"/>
    <w:link w:val="2"/>
    <w:uiPriority w:val="9"/>
    <w:rPr>
      <w:rFonts w:ascii="Arial" w:eastAsia="Arial" w:hAnsi="Arial" w:cs="Arial"/>
      <w:sz w:val="34"/>
    </w:rPr>
  </w:style>
  <w:style w:type="character" w:customStyle="1" w:styleId="30">
    <w:name w:val="标题 3 字符"/>
    <w:basedOn w:val="a0"/>
    <w:link w:val="3"/>
    <w:uiPriority w:val="9"/>
    <w:rPr>
      <w:rFonts w:ascii="Arial" w:eastAsia="Arial" w:hAnsi="Arial" w:cs="Arial"/>
      <w:sz w:val="30"/>
      <w:szCs w:val="30"/>
    </w:rPr>
  </w:style>
  <w:style w:type="character" w:customStyle="1" w:styleId="40">
    <w:name w:val="标题 4 字符"/>
    <w:basedOn w:val="a0"/>
    <w:link w:val="4"/>
    <w:uiPriority w:val="9"/>
    <w:rPr>
      <w:rFonts w:ascii="Arial" w:eastAsia="Arial" w:hAnsi="Arial" w:cs="Arial"/>
      <w:b/>
      <w:bCs/>
      <w:sz w:val="26"/>
      <w:szCs w:val="26"/>
    </w:rPr>
  </w:style>
  <w:style w:type="character" w:customStyle="1" w:styleId="50">
    <w:name w:val="标题 5 字符"/>
    <w:basedOn w:val="a0"/>
    <w:link w:val="5"/>
    <w:uiPriority w:val="9"/>
    <w:rPr>
      <w:rFonts w:ascii="Arial" w:eastAsia="Arial" w:hAnsi="Arial" w:cs="Arial"/>
      <w:b/>
      <w:bCs/>
      <w:sz w:val="24"/>
      <w:szCs w:val="24"/>
    </w:rPr>
  </w:style>
  <w:style w:type="character" w:customStyle="1" w:styleId="60">
    <w:name w:val="标题 6 字符"/>
    <w:basedOn w:val="a0"/>
    <w:link w:val="6"/>
    <w:uiPriority w:val="9"/>
    <w:rPr>
      <w:rFonts w:ascii="Arial" w:eastAsia="Arial" w:hAnsi="Arial" w:cs="Arial"/>
      <w:b/>
      <w:bCs/>
      <w:sz w:val="22"/>
      <w:szCs w:val="22"/>
    </w:rPr>
  </w:style>
  <w:style w:type="character" w:customStyle="1" w:styleId="70">
    <w:name w:val="标题 7 字符"/>
    <w:basedOn w:val="a0"/>
    <w:link w:val="7"/>
    <w:uiPriority w:val="9"/>
    <w:rPr>
      <w:rFonts w:ascii="Arial" w:eastAsia="Arial" w:hAnsi="Arial" w:cs="Arial"/>
      <w:b/>
      <w:bCs/>
      <w:i/>
      <w:iCs/>
      <w:sz w:val="22"/>
      <w:szCs w:val="22"/>
    </w:rPr>
  </w:style>
  <w:style w:type="character" w:customStyle="1" w:styleId="80">
    <w:name w:val="标题 8 字符"/>
    <w:basedOn w:val="a0"/>
    <w:link w:val="8"/>
    <w:uiPriority w:val="9"/>
    <w:rPr>
      <w:rFonts w:ascii="Arial" w:eastAsia="Arial" w:hAnsi="Arial" w:cs="Arial"/>
      <w:i/>
      <w:iCs/>
      <w:sz w:val="22"/>
      <w:szCs w:val="22"/>
    </w:rPr>
  </w:style>
  <w:style w:type="character" w:customStyle="1" w:styleId="90">
    <w:name w:val="标题 9 字符"/>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标题 字符"/>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副标题 字符"/>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用 字符"/>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明显引用 字符"/>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页眉 字符"/>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af0">
    <w:name w:val="页脚 字符"/>
    <w:basedOn w:val="a0"/>
    <w:link w:val="af"/>
    <w:uiPriority w:val="99"/>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semiHidden/>
    <w:unhideWhenUsed/>
    <w:pPr>
      <w:spacing w:after="40"/>
    </w:pPr>
    <w:rPr>
      <w:sz w:val="18"/>
    </w:rPr>
  </w:style>
  <w:style w:type="character" w:customStyle="1" w:styleId="af4">
    <w:name w:val="脚注文本 字符"/>
    <w:link w:val="af3"/>
    <w:uiPriority w:val="99"/>
    <w:rPr>
      <w:sz w:val="18"/>
    </w:rPr>
  </w:style>
  <w:style w:type="character" w:styleId="af5">
    <w:name w:val="footnote reference"/>
    <w:basedOn w:val="a0"/>
    <w:uiPriority w:val="99"/>
    <w:unhideWhenUsed/>
    <w:rPr>
      <w:vertAlign w:val="superscript"/>
    </w:rPr>
  </w:style>
  <w:style w:type="paragraph" w:styleId="TOC1">
    <w:name w:val="toc 1"/>
    <w:basedOn w:val="a"/>
    <w:next w:val="a"/>
    <w:uiPriority w:val="39"/>
    <w:unhideWhenUsed/>
    <w:pPr>
      <w:spacing w:after="57"/>
    </w:pPr>
  </w:style>
  <w:style w:type="paragraph" w:styleId="TOC2">
    <w:name w:val="toc 2"/>
    <w:basedOn w:val="a"/>
    <w:next w:val="a"/>
    <w:uiPriority w:val="39"/>
    <w:unhideWhenUsed/>
    <w:pPr>
      <w:spacing w:after="57"/>
      <w:ind w:left="283"/>
    </w:pPr>
  </w:style>
  <w:style w:type="paragraph" w:styleId="TOC3">
    <w:name w:val="toc 3"/>
    <w:basedOn w:val="a"/>
    <w:next w:val="a"/>
    <w:uiPriority w:val="39"/>
    <w:unhideWhenUsed/>
    <w:pPr>
      <w:spacing w:after="57"/>
      <w:ind w:left="567"/>
    </w:pPr>
  </w:style>
  <w:style w:type="paragraph" w:styleId="TOC4">
    <w:name w:val="toc 4"/>
    <w:basedOn w:val="a"/>
    <w:next w:val="a"/>
    <w:uiPriority w:val="39"/>
    <w:unhideWhenUsed/>
    <w:pPr>
      <w:spacing w:after="57"/>
      <w:ind w:left="850"/>
    </w:pPr>
  </w:style>
  <w:style w:type="paragraph" w:styleId="TOC5">
    <w:name w:val="toc 5"/>
    <w:basedOn w:val="a"/>
    <w:next w:val="a"/>
    <w:uiPriority w:val="39"/>
    <w:unhideWhenUsed/>
    <w:pPr>
      <w:spacing w:after="57"/>
      <w:ind w:left="1134"/>
    </w:pPr>
  </w:style>
  <w:style w:type="paragraph" w:styleId="TOC6">
    <w:name w:val="toc 6"/>
    <w:basedOn w:val="a"/>
    <w:next w:val="a"/>
    <w:uiPriority w:val="39"/>
    <w:unhideWhenUsed/>
    <w:pPr>
      <w:spacing w:after="57"/>
      <w:ind w:left="1417"/>
    </w:pPr>
  </w:style>
  <w:style w:type="paragraph" w:styleId="TOC7">
    <w:name w:val="toc 7"/>
    <w:basedOn w:val="a"/>
    <w:next w:val="a"/>
    <w:uiPriority w:val="39"/>
    <w:unhideWhenUsed/>
    <w:pPr>
      <w:spacing w:after="57"/>
      <w:ind w:left="1701"/>
    </w:pPr>
  </w:style>
  <w:style w:type="paragraph" w:styleId="TOC8">
    <w:name w:val="toc 8"/>
    <w:basedOn w:val="a"/>
    <w:next w:val="a"/>
    <w:uiPriority w:val="39"/>
    <w:unhideWhenUsed/>
    <w:pPr>
      <w:spacing w:after="57"/>
      <w:ind w:left="1984"/>
    </w:pPr>
  </w:style>
  <w:style w:type="paragraph" w:styleId="TOC9">
    <w:name w:val="toc 9"/>
    <w:basedOn w:val="a"/>
    <w:next w:val="a"/>
    <w:uiPriority w:val="39"/>
    <w:unhideWhenUsed/>
    <w:pPr>
      <w:spacing w:after="57"/>
      <w:ind w:left="2268"/>
    </w:pPr>
  </w:style>
  <w:style w:type="paragraph" w:styleId="TOC">
    <w:name w:val="TOC Heading"/>
    <w:uiPriority w:val="39"/>
    <w:unhideWhenUsed/>
  </w:style>
  <w:style w:type="character" w:customStyle="1" w:styleId="10">
    <w:name w:val="标题 1 字符"/>
    <w:basedOn w:val="a0"/>
    <w:link w:val="1"/>
    <w:uiPriority w:val="9"/>
    <w:rPr>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 Linchuan</cp:lastModifiedBy>
  <cp:revision>4</cp:revision>
  <dcterms:created xsi:type="dcterms:W3CDTF">2021-12-06T22:30:00Z</dcterms:created>
  <dcterms:modified xsi:type="dcterms:W3CDTF">2021-12-06T22:32:00Z</dcterms:modified>
</cp:coreProperties>
</file>